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BB" w:rsidRPr="00745794" w:rsidRDefault="00284941" w:rsidP="00745794">
      <w:pPr>
        <w:jc w:val="center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资环</w:t>
      </w:r>
      <w:r w:rsidR="00745794" w:rsidRPr="00745794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学院</w:t>
      </w:r>
      <w:r w:rsidR="009B7EBA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201</w:t>
      </w:r>
      <w:r w:rsidR="001971AA"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  <w:t>5</w:t>
      </w:r>
      <w:r w:rsidR="009B7EBA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级</w:t>
      </w:r>
      <w:r w:rsidR="00745794" w:rsidRPr="00745794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本科毕业设计</w:t>
      </w:r>
      <w:r w:rsidR="00AF1220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（论文）</w:t>
      </w:r>
      <w:r w:rsidR="00CB0B04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实施方案</w:t>
      </w:r>
      <w:r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暨近期工作安排</w:t>
      </w:r>
    </w:p>
    <w:p w:rsidR="00745794" w:rsidRDefault="00745794" w:rsidP="00745794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745794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为深入推进教育教学改革，创新人才培养模式，适应行业技术发展对本科毕业生的综合要求，加强毕业设计（论文）过程管理。现根据《</w:t>
      </w:r>
      <w:r w:rsidR="00CB0B04" w:rsidRPr="00CB0B04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电子科技大学本科毕业设计（论文）管理办法</w:t>
      </w:r>
      <w:r w:rsidRPr="00745794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》</w:t>
      </w:r>
      <w:r w:rsidR="0099565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，以下简称《管理办法》</w:t>
      </w:r>
      <w:r w:rsidRPr="00745794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，结合学院实际情况，制定我院毕业设计</w:t>
      </w:r>
      <w:r w:rsidR="00AF122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（论文）实施</w:t>
      </w:r>
      <w:r w:rsidR="009B7EBA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方案</w:t>
      </w:r>
      <w:r w:rsidR="00AF122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</w:p>
    <w:p w:rsidR="00AF1220" w:rsidRDefault="00A92A1D" w:rsidP="009B7EBA">
      <w:pPr>
        <w:tabs>
          <w:tab w:val="left" w:pos="5490"/>
        </w:tabs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一、</w:t>
      </w:r>
      <w:r w:rsidR="00AF122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毕业设计指导</w:t>
      </w:r>
      <w:r w:rsidR="0056309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文件</w:t>
      </w:r>
      <w:r w:rsidR="009B7EBA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ab/>
      </w:r>
    </w:p>
    <w:p w:rsidR="00942956" w:rsidRPr="00D163F5" w:rsidRDefault="000718F5" w:rsidP="00A92A1D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学院毕设业计（论文）工作</w:t>
      </w:r>
      <w:r w:rsidR="0056309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严格按</w:t>
      </w:r>
      <w:r w:rsidR="00D163F5" w:rsidRPr="00D163F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《电子科技大学本科毕业设计管理办法》执行。</w:t>
      </w:r>
      <w:bookmarkStart w:id="0" w:name="_GoBack"/>
      <w:bookmarkEnd w:id="0"/>
    </w:p>
    <w:p w:rsidR="00D163F5" w:rsidRDefault="00A92A1D" w:rsidP="00A92A1D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二、</w:t>
      </w:r>
      <w:r w:rsidR="00D163F5" w:rsidRPr="00A92A1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毕业设计</w:t>
      </w:r>
      <w:r w:rsidR="00CB0B04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重要环节时间安排</w:t>
      </w:r>
    </w:p>
    <w:p w:rsidR="001A3975" w:rsidRPr="00A92A1D" w:rsidRDefault="001A3975" w:rsidP="00A92A1D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见附件1。</w:t>
      </w:r>
    </w:p>
    <w:p w:rsidR="00AF1220" w:rsidRDefault="00AF1220" w:rsidP="00AF122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三、优秀毕业设计评选办法</w:t>
      </w:r>
    </w:p>
    <w:p w:rsidR="00AF1220" w:rsidRDefault="00AF1220" w:rsidP="00AF122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</w:t>
      </w:r>
      <w:r w:rsidR="008D5F16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、各毕设小组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应遵循“公开、公平、公正”的原则推选校级和院级优秀毕业论文，为保证优秀论文质量，评优论文成绩需在90分以上</w:t>
      </w:r>
      <w:r w:rsidR="00DD764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。院级毕设优秀论文不超过毕设人数的20%，并择优推荐校级优秀毕设论文，校级毕设优秀论文不超过毕设人数的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10%，</w:t>
      </w:r>
      <w:r w:rsidR="00DD764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且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宁缺毋滥。</w:t>
      </w:r>
    </w:p>
    <w:p w:rsidR="00AF1220" w:rsidRPr="00147064" w:rsidRDefault="00AF1220" w:rsidP="00AF122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2、参加校级答辩的学生若未能评上校级优秀毕业论文，可参与院级优秀论文的评选。</w:t>
      </w:r>
    </w:p>
    <w:p w:rsidR="00D8413D" w:rsidRDefault="00AF1220" w:rsidP="00A92A1D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四</w:t>
      </w:r>
      <w:r w:rsidR="00A92A1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</w:t>
      </w:r>
      <w:r w:rsidR="001C4CF7" w:rsidRPr="00A92A1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注意事项</w:t>
      </w:r>
    </w:p>
    <w:p w:rsidR="00D079C8" w:rsidRDefault="00D079C8" w:rsidP="00D079C8">
      <w:pPr>
        <w:spacing w:line="360" w:lineRule="auto"/>
        <w:ind w:firstLineChars="200" w:firstLine="480"/>
        <w:jc w:val="left"/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</w:pPr>
      <w:r w:rsidRPr="00D079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1、请同学们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务必认真阅读《</w:t>
      </w:r>
      <w:r w:rsidRPr="00CB0B04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电子科技大学本科毕业设计（论文）管理办法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》，里面涉及了毕设各环节的要求和毕设相关写作规范</w:t>
      </w:r>
      <w:r w:rsidR="003836C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  <w:r w:rsidR="003836CD" w:rsidRPr="003836CD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今年</w:t>
      </w:r>
      <w:r w:rsidR="003836CD" w:rsidRPr="003836CD">
        <w:rPr>
          <w:rFonts w:ascii="仿宋" w:eastAsia="仿宋" w:hAnsi="仿宋"/>
          <w:b/>
          <w:color w:val="000000"/>
          <w:sz w:val="24"/>
          <w:szCs w:val="24"/>
          <w:shd w:val="clear" w:color="auto" w:fill="FFFFFF"/>
        </w:rPr>
        <w:t>起毕设会加入查重环节，</w:t>
      </w:r>
      <w:r w:rsidRPr="00D079C8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请同学们务必引起重视</w:t>
      </w:r>
      <w:r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。</w:t>
      </w:r>
    </w:p>
    <w:p w:rsidR="00501AD0" w:rsidRPr="00501AD0" w:rsidRDefault="00501AD0" w:rsidP="00501AD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2、毕设题目拟定采用两种方式：</w:t>
      </w:r>
      <w:r w:rsidRPr="00501AD0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一是，老师发布题目，学生根据自己的兴趣爱好选择；二是，学生自拟题目，自行联系指导老师，</w:t>
      </w:r>
      <w:r w:rsidRPr="00501AD0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在近一年内，学生作为第一责任人自行拟定的或与公司、企业合作的项目，参加或正在参加的学院科研训练、学校科技创新基金、国家大学生创新性实验计划、自主创业项目以及各类竞赛等的项目，经过进一步充实完善后能够达到本科生毕业设计要求的，经指导教师审核后，可以作为本人毕业设计题目，照常提交《毕业设计（论文）任务书》。</w:t>
      </w:r>
    </w:p>
    <w:p w:rsidR="000B0436" w:rsidRDefault="00910627" w:rsidP="00284941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284941">
        <w:rPr>
          <w:rFonts w:ascii="仿宋" w:eastAsia="仿宋" w:hAnsi="仿宋" w:hint="eastAsia"/>
          <w:bCs/>
          <w:color w:val="000000"/>
          <w:sz w:val="24"/>
          <w:szCs w:val="24"/>
          <w:shd w:val="clear" w:color="auto" w:fill="FFFFFF"/>
        </w:rPr>
        <w:t>3</w:t>
      </w:r>
      <w:r w:rsidR="000B0436" w:rsidRPr="00284941">
        <w:rPr>
          <w:rFonts w:ascii="仿宋" w:eastAsia="仿宋" w:hAnsi="仿宋" w:hint="eastAsia"/>
          <w:bCs/>
          <w:color w:val="000000"/>
          <w:sz w:val="24"/>
          <w:szCs w:val="24"/>
          <w:shd w:val="clear" w:color="auto" w:fill="FFFFFF"/>
        </w:rPr>
        <w:t>、关于文献翻译。</w:t>
      </w:r>
      <w:r w:rsidR="000B0436" w:rsidRPr="000B0436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 xml:space="preserve"> 要求翻译一篇与毕业设计（论文）内容相关的外文资料（须提供外文资料原文复印件），中文译文字数不得少于1000字。</w:t>
      </w:r>
      <w:r w:rsid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并按《管理办</w:t>
      </w:r>
      <w:r w:rsid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lastRenderedPageBreak/>
        <w:t>法》装订至论文中。</w:t>
      </w:r>
    </w:p>
    <w:p w:rsidR="00501AD0" w:rsidRDefault="00801328" w:rsidP="00501AD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4</w:t>
      </w:r>
      <w:r w:rsidR="00501AD0" w:rsidRP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、校外毕设需提交的资料有《校外毕设申请表》、《接收函》（盖</w:t>
      </w:r>
      <w:r w:rsid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鲜</w:t>
      </w:r>
      <w:r w:rsidR="00501AD0" w:rsidRP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章）、《任务书》（校外指导老师签字</w:t>
      </w:r>
      <w:r w:rsid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并确定一个校内代管教师</w:t>
      </w:r>
      <w:r w:rsidR="00501AD0" w:rsidRPr="00501AD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）、《进度表》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</w:p>
    <w:p w:rsidR="003947D2" w:rsidRDefault="003947D2" w:rsidP="00501AD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5、请同学们阅读附件</w:t>
      </w:r>
      <w:r w:rsidR="001261FD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，了解毕设主要环节的时间节点。</w:t>
      </w:r>
    </w:p>
    <w:p w:rsidR="00801328" w:rsidRPr="00501AD0" w:rsidRDefault="00801328" w:rsidP="00501AD0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五、近期工作安排</w:t>
      </w:r>
    </w:p>
    <w:p w:rsidR="008467D9" w:rsidRDefault="00801328" w:rsidP="00944EB2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</w:t>
      </w:r>
      <w:r w:rsidR="00D079C8" w:rsidRPr="00D079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如需</w:t>
      </w:r>
      <w:r w:rsidRPr="0080132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自行拟定题目的，自行联系指导老师，确定任务书和进度表。如选择老师发布题目的，</w:t>
      </w:r>
      <w:r w:rsidR="00D079C8" w:rsidRPr="00D079C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请同学们</w:t>
      </w:r>
      <w:r w:rsidR="008467D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在年级群里下载毕设题目汇总表和任务书电子版了解毕设内容。</w:t>
      </w:r>
    </w:p>
    <w:p w:rsidR="008467D9" w:rsidRDefault="008467D9" w:rsidP="00944EB2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、10月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25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日</w:t>
      </w:r>
      <w:r w:rsidR="00D46AEA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之前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到学院教务科（创新中心大楼5楼</w:t>
      </w:r>
      <w:r w:rsidR="00D46AEA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D514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）签字确认毕设题目。</w:t>
      </w:r>
    </w:p>
    <w:p w:rsidR="00944EB2" w:rsidRPr="00944EB2" w:rsidRDefault="008467D9" w:rsidP="00944EB2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3、自行联系老师，与老师沟通完毕后，完善并确定任务书，</w:t>
      </w:r>
      <w:r w:rsidRPr="008D5F16">
        <w:rPr>
          <w:rFonts w:ascii="仿宋" w:eastAsia="仿宋" w:hAnsi="仿宋" w:hint="eastAsia"/>
          <w:b/>
          <w:color w:val="000000"/>
          <w:sz w:val="24"/>
          <w:szCs w:val="24"/>
          <w:shd w:val="clear" w:color="auto" w:fill="FFFFFF"/>
        </w:rPr>
        <w:t>任务书需指导教师亲笔签字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。30日之前，由各班负责人将</w:t>
      </w:r>
      <w:r w:rsidR="00B659AA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任务书纸质档收齐后交至学院教务科。</w:t>
      </w:r>
    </w:p>
    <w:p w:rsidR="00944EB2" w:rsidRDefault="0077444F" w:rsidP="00944EB2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4</w:t>
      </w:r>
      <w:r w:rsid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</w:t>
      </w:r>
      <w:r w:rsidR="00D079C8" w:rsidRP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请</w:t>
      </w:r>
      <w:r w:rsid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同学们</w:t>
      </w:r>
      <w:r w:rsidR="00D079C8" w:rsidRP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下载《进度表》打印出来，由指导老师拟定进度安排，学生</w:t>
      </w:r>
      <w:r w:rsid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与老师协商时间和地点，</w:t>
      </w:r>
      <w:r w:rsidR="00D079C8" w:rsidRP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每周</w:t>
      </w:r>
      <w:r w:rsid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至少</w:t>
      </w:r>
      <w:r w:rsidR="00D079C8" w:rsidRP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定期向老师见面汇报</w:t>
      </w:r>
      <w:r w:rsidR="00944EB2" w:rsidRP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一次</w:t>
      </w:r>
      <w:r w:rsidR="00D079C8" w:rsidRP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毕业设计进展情况和存在困难，每两周指导教师根据学生完成进度情况在《进度表》上签字，学生保管好进度表</w:t>
      </w:r>
      <w:r w:rsidR="00944EB2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  <w:r w:rsidR="008467D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进度表上的周次，已经做好，同学们不要改动。</w:t>
      </w:r>
    </w:p>
    <w:p w:rsidR="0004476E" w:rsidRPr="0004476E" w:rsidRDefault="0004476E" w:rsidP="0004476E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5、</w:t>
      </w:r>
      <w:r w:rsidRPr="0004476E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毕设论文所需材料请在教务处网站上下载</w:t>
      </w:r>
      <w:r w:rsidR="00D46AEA" w:rsidRPr="00D46AEA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http://www.jwc.uestc.edu.cn/web/News!view.action?id=1848</w:t>
      </w:r>
      <w:r w:rsidRPr="0004476E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</w:p>
    <w:p w:rsidR="0004476E" w:rsidRPr="0004476E" w:rsidRDefault="0004476E" w:rsidP="00944EB2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</w:p>
    <w:p w:rsidR="00AF1220" w:rsidRDefault="00AF1220" w:rsidP="000D578B">
      <w:pPr>
        <w:spacing w:line="360" w:lineRule="auto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</w:p>
    <w:p w:rsidR="002868F8" w:rsidRDefault="00954DBC" w:rsidP="009B7EBA">
      <w:pPr>
        <w:wordWrap w:val="0"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资源与环境学院</w:t>
      </w:r>
    </w:p>
    <w:p w:rsidR="00B25673" w:rsidRDefault="00B25673" w:rsidP="009B7EBA">
      <w:pPr>
        <w:wordWrap w:val="0"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sectPr w:rsidR="00B25673" w:rsidSect="006853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201</w:t>
      </w:r>
      <w:r w:rsidR="00D46AEA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年</w:t>
      </w:r>
      <w:r w:rsidR="008D5F16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10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月</w:t>
      </w:r>
      <w:r w:rsidR="00D46AEA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16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日</w:t>
      </w:r>
    </w:p>
    <w:p w:rsidR="00EE3546" w:rsidRDefault="002868F8" w:rsidP="002868F8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lastRenderedPageBreak/>
        <w:t>附件1 毕业设计重要环节时间安排</w:t>
      </w:r>
    </w:p>
    <w:p w:rsidR="00AC310E" w:rsidRDefault="00AC310E" w:rsidP="00AC310E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附件1 毕业设计重要环节时间安排</w:t>
      </w:r>
    </w:p>
    <w:tbl>
      <w:tblPr>
        <w:tblStyle w:val="a8"/>
        <w:tblW w:w="13325" w:type="dxa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1701"/>
        <w:gridCol w:w="3402"/>
        <w:gridCol w:w="4962"/>
      </w:tblGrid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毕设流程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执行时间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所需材料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题目征集和任务书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9月27日-10月18日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《资环学院2015级毕业设计题目征集表》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学生选题；确定任务书；指导教师拟定毕设进度表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10月19日-10月31日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《毕业设计（论文）任务书》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《毕业设计进度表》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学生根据老师发布的题目和任务书选题，并与老师沟通，明确任务书，任务书由老师签字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与老师一起拟定进度表,</w:t>
            </w:r>
            <w:r>
              <w:rPr>
                <w:rFonts w:ascii="仿宋" w:eastAsia="仿宋" w:hAnsi="仿宋" w:hint="eastAsia"/>
                <w:b/>
                <w:szCs w:val="21"/>
              </w:rPr>
              <w:t>进度表由老师填写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进度表和任务书由各班学委统一提交教务科</w:t>
            </w:r>
          </w:p>
        </w:tc>
      </w:tr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申请校外毕设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10月19日-10月31日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《毕业设计（论文）任务书》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《毕业设计进度表》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校外做毕业设计要符合《校外毕业设计（论文）管理规定》的要求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填写《校外毕业设计（论文）申请表》，指导教师签名，接收单位盖章，同时填写《任务书》，由校内代管老师审查合格，交到教务科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校外毕业设计资料需校外指导老师签字，若时间不够，可先提交扫描件，以后再补原件。</w:t>
            </w:r>
          </w:p>
        </w:tc>
      </w:tr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攥写开题报告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11月-12月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《毕业设计（论文）开题报告表》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指导老师签署开题意见并签名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以班级为单位提交开题报告至教务科，具体时间另行通知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指导老师未签字或未提交开题报告均视为不开题，将暂停毕业设计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考研学生可暂缓提交开题报告，以辅导员名单为准。</w:t>
            </w:r>
          </w:p>
        </w:tc>
      </w:tr>
      <w:tr w:rsidR="00AC310E" w:rsidTr="00AC31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毕设初期检查（院级）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3月</w:t>
            </w:r>
          </w:p>
          <w:p w:rsidR="00AC310E" w:rsidRDefault="00AC310E">
            <w:pPr>
              <w:pStyle w:val="a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（1）《毕业设计（论文）初期检查表》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反馈检查结果，并整改</w:t>
            </w:r>
          </w:p>
        </w:tc>
      </w:tr>
      <w:tr w:rsidR="00AC310E" w:rsidTr="00AC31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毕设初期检查（校级）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310E" w:rsidTr="00AC31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毕设中期检查（院级）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4月</w:t>
            </w:r>
          </w:p>
          <w:p w:rsidR="00AC310E" w:rsidRDefault="00AC310E">
            <w:pPr>
              <w:pStyle w:val="a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（1）《毕业设计（论文）中期检查表》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反馈检查结果，并整改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中期整改结束后不再更改题目</w:t>
            </w:r>
          </w:p>
        </w:tc>
      </w:tr>
      <w:tr w:rsidR="00AC310E" w:rsidTr="00AC31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毕设中期检查（校级）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论文初稿审核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毕业论文、外文翻译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指导老师审查论文内容、格式，修改到合格为止，外文翻译内容要与毕设内容相关，要准确、一致，语法要正确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在限期时间内不按时提交论文或指导老师审核不通过者，则不能参加答辩。</w:t>
            </w:r>
          </w:p>
        </w:tc>
      </w:tr>
      <w:tr w:rsidR="00AC310E" w:rsidTr="00AC31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毕设答辩（院级）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5月底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（1）《毕业设计论文成绩考核表正面》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（2）《答辩提问记录表》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（3）《毕业设计（论文）》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指导老师进行设计过程打分，评阅老师进行毕业论文打分，答辩专家进行毕业答辩打分</w:t>
            </w:r>
          </w:p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参加校级答辩的同学可不参加院级答辩，涉及答辩的相关材料由校级答辩专家填写</w:t>
            </w:r>
          </w:p>
        </w:tc>
      </w:tr>
      <w:tr w:rsidR="00AC310E" w:rsidTr="00AC31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毕设答辩（校级）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6月初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毕设资料归档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6月底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《毕业设计课题落实、课题信息统计、优秀论文汇总表》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《毕业设计与科研创新活动关联情况统计表》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《毕业设计论文成绩考核表》2份</w:t>
            </w:r>
          </w:p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《毕业设计（论文）》电子档（word格式）、纸质档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论文提交归档时，请再次确认论文写作、格式以及装订是否符合规范，如不符合规范，将退回，继续整改，直到合格为止。</w:t>
            </w:r>
          </w:p>
        </w:tc>
      </w:tr>
      <w:tr w:rsidR="00AC310E" w:rsidTr="00AC3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毕设经费报销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0E" w:rsidRDefault="00AC310E">
            <w:pPr>
              <w:pStyle w:val="a7"/>
              <w:ind w:firstLineChars="0" w:firstLine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0E" w:rsidRDefault="00AC310E" w:rsidP="00AC310E">
            <w:pPr>
              <w:pStyle w:val="a7"/>
              <w:ind w:left="420" w:firstLineChars="0" w:firstLine="0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AC310E" w:rsidRDefault="00AC310E" w:rsidP="002868F8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780"/>
        <w:gridCol w:w="13420"/>
      </w:tblGrid>
      <w:tr w:rsidR="00D422CA" w:rsidRPr="00D422CA" w:rsidTr="00D422C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Pr="00D422CA" w:rsidRDefault="00D422CA" w:rsidP="00D422C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22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Pr="00D422CA" w:rsidRDefault="00D422CA" w:rsidP="00D422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422CA" w:rsidRPr="00D422CA" w:rsidTr="00D422CA">
        <w:trPr>
          <w:trHeight w:val="4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Pr="00D422CA" w:rsidRDefault="00D422CA" w:rsidP="00D422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Pr="00D422CA" w:rsidRDefault="00D422CA" w:rsidP="003F3264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22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学生与老师每周协定一个具体时间，当面汇报毕业设计进展情况和存在困难，每两周指导教师根据学生完成进度情况在进度表上签字；</w:t>
            </w:r>
          </w:p>
        </w:tc>
      </w:tr>
      <w:tr w:rsidR="00D422CA" w:rsidRPr="00D422CA" w:rsidTr="00D422CA">
        <w:trPr>
          <w:trHeight w:val="5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Pr="00D422CA" w:rsidRDefault="00D422CA" w:rsidP="00D422CA">
            <w:pPr>
              <w:pStyle w:val="a7"/>
              <w:widowControl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Pr="00D422CA" w:rsidRDefault="00D422CA" w:rsidP="00D422CA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22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对不按老师要求执行或态度不端正的学生，请指导老师及时反馈给教务科，教务科协同学生科积极督促，对拒不整改的学生指导老师可按规定推迟答辩或不准答辩。</w:t>
            </w:r>
          </w:p>
        </w:tc>
      </w:tr>
      <w:tr w:rsidR="00D422CA" w:rsidRPr="00D422CA" w:rsidTr="00D422CA">
        <w:trPr>
          <w:trHeight w:val="2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Pr="00D422CA" w:rsidRDefault="00D422CA" w:rsidP="00D422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2CA" w:rsidRDefault="00D422CA" w:rsidP="008D5F16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毕设论文档案请在教务处网站</w:t>
            </w:r>
            <w:r w:rsidR="00AC31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上下载</w:t>
            </w:r>
            <w:r w:rsidRPr="00D422C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8D5F16" w:rsidRPr="008D5F16">
              <w:t>http://www.jwc.uestc.edu.cn/web/News!view.action?id=1848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8D5F16" w:rsidRPr="00D422CA" w:rsidRDefault="008D5F16" w:rsidP="008D5F16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因word版本不同，可能会造成表格格式发生变化，请同学们打印前</w:t>
            </w:r>
            <w:r w:rsidR="000D27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，仔细看下表格格式是否正确。</w:t>
            </w:r>
          </w:p>
        </w:tc>
      </w:tr>
    </w:tbl>
    <w:p w:rsidR="0037689F" w:rsidRDefault="0037689F" w:rsidP="002868F8">
      <w:pPr>
        <w:spacing w:line="360" w:lineRule="auto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</w:p>
    <w:p w:rsidR="0037689F" w:rsidRDefault="0037689F">
      <w:pPr>
        <w:widowControl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</w:p>
    <w:sectPr w:rsidR="0037689F" w:rsidSect="0045343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AE" w:rsidRDefault="005B6CAE" w:rsidP="00745794">
      <w:r>
        <w:separator/>
      </w:r>
    </w:p>
  </w:endnote>
  <w:endnote w:type="continuationSeparator" w:id="0">
    <w:p w:rsidR="005B6CAE" w:rsidRDefault="005B6CAE" w:rsidP="0074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AE" w:rsidRDefault="005B6CAE" w:rsidP="00745794">
      <w:r>
        <w:separator/>
      </w:r>
    </w:p>
  </w:footnote>
  <w:footnote w:type="continuationSeparator" w:id="0">
    <w:p w:rsidR="005B6CAE" w:rsidRDefault="005B6CAE" w:rsidP="0074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D37"/>
    <w:multiLevelType w:val="hybridMultilevel"/>
    <w:tmpl w:val="E3A6DF7C"/>
    <w:lvl w:ilvl="0" w:tplc="5B122872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2637A1"/>
    <w:multiLevelType w:val="hybridMultilevel"/>
    <w:tmpl w:val="A2DC6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B2324"/>
    <w:multiLevelType w:val="hybridMultilevel"/>
    <w:tmpl w:val="C26C1C1A"/>
    <w:lvl w:ilvl="0" w:tplc="53A2E61E">
      <w:start w:val="1"/>
      <w:numFmt w:val="japaneseCounting"/>
      <w:lvlText w:val="%1、"/>
      <w:lvlJc w:val="left"/>
      <w:pPr>
        <w:ind w:left="141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47D0D10"/>
    <w:multiLevelType w:val="hybridMultilevel"/>
    <w:tmpl w:val="E334BE86"/>
    <w:lvl w:ilvl="0" w:tplc="B21A47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BE089F"/>
    <w:multiLevelType w:val="hybridMultilevel"/>
    <w:tmpl w:val="D5908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7F3D99"/>
    <w:multiLevelType w:val="hybridMultilevel"/>
    <w:tmpl w:val="69EE5D1A"/>
    <w:lvl w:ilvl="0" w:tplc="9892B1A4">
      <w:start w:val="1"/>
      <w:numFmt w:val="decimal"/>
      <w:lvlText w:val="%1、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794"/>
    <w:rsid w:val="0004476E"/>
    <w:rsid w:val="0004763F"/>
    <w:rsid w:val="000718F5"/>
    <w:rsid w:val="000A4A53"/>
    <w:rsid w:val="000B0436"/>
    <w:rsid w:val="000D274C"/>
    <w:rsid w:val="000D578B"/>
    <w:rsid w:val="001261FD"/>
    <w:rsid w:val="00147064"/>
    <w:rsid w:val="001971AA"/>
    <w:rsid w:val="001A3975"/>
    <w:rsid w:val="001C4CF7"/>
    <w:rsid w:val="001C6EAD"/>
    <w:rsid w:val="001E06C7"/>
    <w:rsid w:val="00225CCC"/>
    <w:rsid w:val="00256921"/>
    <w:rsid w:val="00284941"/>
    <w:rsid w:val="002868F8"/>
    <w:rsid w:val="002E1857"/>
    <w:rsid w:val="003005D5"/>
    <w:rsid w:val="0037689F"/>
    <w:rsid w:val="003836CD"/>
    <w:rsid w:val="003947D2"/>
    <w:rsid w:val="003F3264"/>
    <w:rsid w:val="0045343D"/>
    <w:rsid w:val="00461893"/>
    <w:rsid w:val="004807EB"/>
    <w:rsid w:val="004947A6"/>
    <w:rsid w:val="0049533D"/>
    <w:rsid w:val="004A598A"/>
    <w:rsid w:val="00501AD0"/>
    <w:rsid w:val="00531497"/>
    <w:rsid w:val="00543494"/>
    <w:rsid w:val="00563091"/>
    <w:rsid w:val="005862DE"/>
    <w:rsid w:val="005B6CAE"/>
    <w:rsid w:val="005F0489"/>
    <w:rsid w:val="005F4D7E"/>
    <w:rsid w:val="00601AAD"/>
    <w:rsid w:val="006648BB"/>
    <w:rsid w:val="0068176B"/>
    <w:rsid w:val="006853B4"/>
    <w:rsid w:val="00745794"/>
    <w:rsid w:val="0077444F"/>
    <w:rsid w:val="00800213"/>
    <w:rsid w:val="00801328"/>
    <w:rsid w:val="0081495C"/>
    <w:rsid w:val="00836F2B"/>
    <w:rsid w:val="008467D9"/>
    <w:rsid w:val="0088486F"/>
    <w:rsid w:val="008D5F16"/>
    <w:rsid w:val="008E5227"/>
    <w:rsid w:val="008F11DA"/>
    <w:rsid w:val="00906737"/>
    <w:rsid w:val="00910627"/>
    <w:rsid w:val="00927B0B"/>
    <w:rsid w:val="00942956"/>
    <w:rsid w:val="00944EB2"/>
    <w:rsid w:val="00951C8B"/>
    <w:rsid w:val="00954DBC"/>
    <w:rsid w:val="00971FF7"/>
    <w:rsid w:val="00995651"/>
    <w:rsid w:val="009A45FA"/>
    <w:rsid w:val="009B3F88"/>
    <w:rsid w:val="009B7EBA"/>
    <w:rsid w:val="009F5C63"/>
    <w:rsid w:val="00A10C2F"/>
    <w:rsid w:val="00A16D00"/>
    <w:rsid w:val="00A22241"/>
    <w:rsid w:val="00A403BC"/>
    <w:rsid w:val="00A92A1D"/>
    <w:rsid w:val="00AB63D0"/>
    <w:rsid w:val="00AC0111"/>
    <w:rsid w:val="00AC310E"/>
    <w:rsid w:val="00AF1220"/>
    <w:rsid w:val="00B05849"/>
    <w:rsid w:val="00B10A4C"/>
    <w:rsid w:val="00B15D18"/>
    <w:rsid w:val="00B25673"/>
    <w:rsid w:val="00B659AA"/>
    <w:rsid w:val="00B67979"/>
    <w:rsid w:val="00BA216B"/>
    <w:rsid w:val="00C62C70"/>
    <w:rsid w:val="00C94235"/>
    <w:rsid w:val="00CB0B04"/>
    <w:rsid w:val="00CB7913"/>
    <w:rsid w:val="00CE708D"/>
    <w:rsid w:val="00D079C8"/>
    <w:rsid w:val="00D163F5"/>
    <w:rsid w:val="00D422CA"/>
    <w:rsid w:val="00D46AEA"/>
    <w:rsid w:val="00D67872"/>
    <w:rsid w:val="00D8413D"/>
    <w:rsid w:val="00DD764C"/>
    <w:rsid w:val="00E3028F"/>
    <w:rsid w:val="00E374F6"/>
    <w:rsid w:val="00EE3546"/>
    <w:rsid w:val="00EE6536"/>
    <w:rsid w:val="00F300B6"/>
    <w:rsid w:val="00F71C39"/>
    <w:rsid w:val="00FA18B8"/>
    <w:rsid w:val="00FC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7BE1"/>
  <w15:docId w15:val="{212C931E-A111-45E0-8371-2574751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794"/>
    <w:rPr>
      <w:sz w:val="18"/>
      <w:szCs w:val="18"/>
    </w:rPr>
  </w:style>
  <w:style w:type="paragraph" w:styleId="a7">
    <w:name w:val="List Paragraph"/>
    <w:basedOn w:val="a"/>
    <w:uiPriority w:val="34"/>
    <w:qFormat/>
    <w:rsid w:val="00D163F5"/>
    <w:pPr>
      <w:ind w:firstLineChars="200" w:firstLine="420"/>
    </w:pPr>
  </w:style>
  <w:style w:type="table" w:styleId="a8">
    <w:name w:val="Table Grid"/>
    <w:basedOn w:val="a1"/>
    <w:uiPriority w:val="59"/>
    <w:rsid w:val="00F7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C4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422C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07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A668-DEF2-47BD-8CF4-551F5BC6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50</cp:revision>
  <dcterms:created xsi:type="dcterms:W3CDTF">2015-09-27T23:54:00Z</dcterms:created>
  <dcterms:modified xsi:type="dcterms:W3CDTF">2018-10-16T06:58:00Z</dcterms:modified>
</cp:coreProperties>
</file>